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B8C8" w14:textId="77777777" w:rsidR="00363BFA" w:rsidRPr="00B015E8" w:rsidRDefault="00363BFA" w:rsidP="00363BFA">
      <w:pPr>
        <w:pStyle w:val="a7"/>
        <w:adjustRightInd w:val="0"/>
        <w:snapToGrid w:val="0"/>
        <w:spacing w:line="600" w:lineRule="exact"/>
        <w:ind w:leftChars="0" w:left="0"/>
        <w:rPr>
          <w:rFonts w:ascii="Times New Roman" w:eastAsia="黑体" w:hAnsi="Times New Roman"/>
          <w:sz w:val="32"/>
          <w:szCs w:val="32"/>
        </w:rPr>
      </w:pPr>
      <w:r w:rsidRPr="00B015E8">
        <w:rPr>
          <w:rFonts w:ascii="Times New Roman" w:eastAsia="黑体" w:hAnsi="Times New Roman" w:hint="eastAsia"/>
          <w:sz w:val="32"/>
          <w:szCs w:val="32"/>
        </w:rPr>
        <w:t>附件</w:t>
      </w:r>
      <w:r w:rsidRPr="00B015E8">
        <w:rPr>
          <w:rFonts w:ascii="Times New Roman" w:eastAsia="黑体" w:hAnsi="Times New Roman"/>
          <w:sz w:val="32"/>
          <w:szCs w:val="32"/>
        </w:rPr>
        <w:t>2</w:t>
      </w:r>
    </w:p>
    <w:p w14:paraId="2DD7C326" w14:textId="77777777" w:rsidR="00363BFA" w:rsidRPr="007D571D" w:rsidRDefault="00363BFA" w:rsidP="00363BFA">
      <w:pPr>
        <w:spacing w:afterLines="50" w:after="218" w:line="600" w:lineRule="exact"/>
        <w:jc w:val="center"/>
        <w:rPr>
          <w:rFonts w:ascii="Times New Roman" w:eastAsia="仿宋_GB2312" w:hAnsi="Times New Roman"/>
          <w:kern w:val="10"/>
          <w:sz w:val="44"/>
          <w:szCs w:val="44"/>
        </w:rPr>
      </w:pPr>
      <w:r w:rsidRPr="007D571D">
        <w:rPr>
          <w:rFonts w:ascii="Times New Roman" w:eastAsia="方正小标宋简体" w:hAnsi="Times New Roman" w:cs="Times New Roman" w:hint="eastAsia"/>
          <w:sz w:val="44"/>
          <w:szCs w:val="44"/>
        </w:rPr>
        <w:t>“一站式”学生社区综合管理模式建设试点工作指南</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856"/>
        <w:gridCol w:w="6770"/>
      </w:tblGrid>
      <w:tr w:rsidR="00363BFA" w:rsidRPr="00B015E8" w14:paraId="4F1461DB" w14:textId="77777777" w:rsidTr="00F06C9D">
        <w:trPr>
          <w:trHeight w:val="635"/>
          <w:jc w:val="center"/>
        </w:trPr>
        <w:tc>
          <w:tcPr>
            <w:tcW w:w="592" w:type="pct"/>
            <w:shd w:val="clear" w:color="auto" w:fill="auto"/>
            <w:vAlign w:val="center"/>
          </w:tcPr>
          <w:p w14:paraId="49665143" w14:textId="77777777" w:rsidR="00363BFA" w:rsidRPr="00B015E8" w:rsidRDefault="00363BFA" w:rsidP="00F06C9D">
            <w:pPr>
              <w:widowControl/>
              <w:snapToGrid w:val="0"/>
              <w:spacing w:line="500" w:lineRule="exact"/>
              <w:jc w:val="center"/>
              <w:rPr>
                <w:rFonts w:ascii="Times New Roman" w:eastAsia="黑体" w:hAnsi="Times New Roman" w:cs="Times New Roman"/>
                <w:bCs/>
                <w:kern w:val="0"/>
                <w:sz w:val="28"/>
                <w:szCs w:val="28"/>
              </w:rPr>
            </w:pPr>
            <w:r w:rsidRPr="00B015E8">
              <w:rPr>
                <w:rFonts w:ascii="Times New Roman" w:eastAsia="黑体" w:hAnsi="Times New Roman" w:cs="Times New Roman" w:hint="eastAsia"/>
                <w:bCs/>
                <w:kern w:val="0"/>
                <w:sz w:val="28"/>
                <w:szCs w:val="28"/>
              </w:rPr>
              <w:t>建设内容</w:t>
            </w:r>
          </w:p>
        </w:tc>
        <w:tc>
          <w:tcPr>
            <w:tcW w:w="2218" w:type="pct"/>
            <w:shd w:val="clear" w:color="auto" w:fill="auto"/>
            <w:vAlign w:val="center"/>
          </w:tcPr>
          <w:p w14:paraId="7548439D" w14:textId="77777777" w:rsidR="00363BFA" w:rsidRPr="00B015E8" w:rsidRDefault="00363BFA" w:rsidP="00F06C9D">
            <w:pPr>
              <w:widowControl/>
              <w:snapToGrid w:val="0"/>
              <w:spacing w:line="500" w:lineRule="exact"/>
              <w:jc w:val="center"/>
              <w:rPr>
                <w:rFonts w:ascii="Times New Roman" w:eastAsia="黑体" w:hAnsi="Times New Roman" w:cs="Times New Roman"/>
                <w:bCs/>
                <w:kern w:val="0"/>
                <w:sz w:val="28"/>
                <w:szCs w:val="28"/>
              </w:rPr>
            </w:pPr>
            <w:r w:rsidRPr="00B015E8">
              <w:rPr>
                <w:rFonts w:ascii="Times New Roman" w:eastAsia="黑体" w:hAnsi="Times New Roman" w:cs="Times New Roman" w:hint="eastAsia"/>
                <w:bCs/>
                <w:kern w:val="0"/>
                <w:sz w:val="28"/>
                <w:szCs w:val="28"/>
              </w:rPr>
              <w:t>基本要求</w:t>
            </w:r>
          </w:p>
        </w:tc>
        <w:tc>
          <w:tcPr>
            <w:tcW w:w="2190" w:type="pct"/>
            <w:shd w:val="clear" w:color="auto" w:fill="auto"/>
            <w:vAlign w:val="center"/>
          </w:tcPr>
          <w:p w14:paraId="7056DACA" w14:textId="77777777" w:rsidR="00363BFA" w:rsidRPr="00B015E8" w:rsidRDefault="00363BFA" w:rsidP="00F06C9D">
            <w:pPr>
              <w:widowControl/>
              <w:snapToGrid w:val="0"/>
              <w:spacing w:line="500" w:lineRule="exact"/>
              <w:jc w:val="center"/>
              <w:rPr>
                <w:rFonts w:ascii="Times New Roman" w:eastAsia="黑体" w:hAnsi="Times New Roman" w:cs="Times New Roman"/>
                <w:bCs/>
                <w:kern w:val="0"/>
                <w:sz w:val="28"/>
                <w:szCs w:val="28"/>
              </w:rPr>
            </w:pPr>
            <w:r w:rsidRPr="00B015E8">
              <w:rPr>
                <w:rFonts w:ascii="Times New Roman" w:eastAsia="黑体" w:hAnsi="Times New Roman" w:cs="Times New Roman" w:hint="eastAsia"/>
                <w:bCs/>
                <w:kern w:val="0"/>
                <w:sz w:val="28"/>
                <w:szCs w:val="28"/>
              </w:rPr>
              <w:t>拓展要求</w:t>
            </w:r>
          </w:p>
        </w:tc>
      </w:tr>
      <w:tr w:rsidR="00363BFA" w:rsidRPr="00B015E8" w14:paraId="256F0D00" w14:textId="77777777" w:rsidTr="00F06C9D">
        <w:trPr>
          <w:trHeight w:val="1338"/>
          <w:jc w:val="center"/>
        </w:trPr>
        <w:tc>
          <w:tcPr>
            <w:tcW w:w="592" w:type="pct"/>
            <w:shd w:val="clear" w:color="auto" w:fill="auto"/>
            <w:vAlign w:val="center"/>
          </w:tcPr>
          <w:p w14:paraId="5BFAECBE" w14:textId="77777777" w:rsidR="00363BFA" w:rsidRPr="00B015E8" w:rsidRDefault="00363BFA" w:rsidP="00F06C9D">
            <w:pPr>
              <w:pStyle w:val="a9"/>
              <w:widowControl/>
              <w:spacing w:line="500" w:lineRule="exact"/>
              <w:ind w:firstLineChars="0" w:firstLine="0"/>
              <w:jc w:val="center"/>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1</w:t>
            </w:r>
            <w:r w:rsidRPr="00B015E8">
              <w:rPr>
                <w:rFonts w:ascii="Times New Roman" w:eastAsia="仿宋_GB2312" w:hAnsi="Times New Roman" w:cs="Times New Roman"/>
                <w:kern w:val="0"/>
                <w:sz w:val="28"/>
                <w:szCs w:val="28"/>
              </w:rPr>
              <w:t xml:space="preserve">. </w:t>
            </w:r>
            <w:r w:rsidRPr="00B015E8">
              <w:rPr>
                <w:rFonts w:ascii="Times New Roman" w:eastAsia="仿宋_GB2312" w:hAnsi="Times New Roman" w:cs="Times New Roman" w:hint="eastAsia"/>
                <w:kern w:val="0"/>
                <w:sz w:val="28"/>
                <w:szCs w:val="28"/>
              </w:rPr>
              <w:t>党建引领</w:t>
            </w:r>
          </w:p>
        </w:tc>
        <w:tc>
          <w:tcPr>
            <w:tcW w:w="2218" w:type="pct"/>
            <w:shd w:val="clear" w:color="auto" w:fill="auto"/>
            <w:vAlign w:val="center"/>
          </w:tcPr>
          <w:p w14:paraId="44591B3A"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学校党委高度重视，党委书记履行试点工作第一责任人职责，领导班子成员强化“一岗双责”，将试点工作作为常委会、全委会和校长办公会重要议题，每学期专题研究，及时协调解决机制构建、资源配置、经费保障等问题，形成党委统一领导、有关单位各负其责、全员协同配合的工作格局。</w:t>
            </w:r>
          </w:p>
          <w:p w14:paraId="2976509F"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明确学生工作部门或其他部门作为牵头单位，强化统筹协调、组织推进、管理监督，确保多方力量和资源在学生社区实现整合协同。</w:t>
            </w:r>
          </w:p>
          <w:p w14:paraId="3AFFA15A"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在学生社区建立党团组织，实现对楼宇、楼层的全覆盖。</w:t>
            </w:r>
          </w:p>
        </w:tc>
        <w:tc>
          <w:tcPr>
            <w:tcW w:w="2190" w:type="pct"/>
            <w:shd w:val="clear" w:color="auto" w:fill="auto"/>
            <w:vAlign w:val="center"/>
          </w:tcPr>
          <w:p w14:paraId="7BDDDF5F"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打破年级、专业、师生界限，在学生社区灵活设置党支部，积极与其他党支部结对共建。</w:t>
            </w:r>
          </w:p>
          <w:p w14:paraId="09CF2C03"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建立学生党员网格化管理体系，</w:t>
            </w:r>
            <w:proofErr w:type="gramStart"/>
            <w:r w:rsidRPr="00B015E8">
              <w:rPr>
                <w:rFonts w:ascii="Times New Roman" w:eastAsia="仿宋_GB2312" w:hAnsi="Times New Roman" w:cs="Times New Roman" w:hint="eastAsia"/>
                <w:kern w:val="0"/>
                <w:sz w:val="28"/>
                <w:szCs w:val="28"/>
              </w:rPr>
              <w:t>健全线</w:t>
            </w:r>
            <w:proofErr w:type="gramEnd"/>
            <w:r w:rsidRPr="00B015E8">
              <w:rPr>
                <w:rFonts w:ascii="Times New Roman" w:eastAsia="仿宋_GB2312" w:hAnsi="Times New Roman" w:cs="Times New Roman" w:hint="eastAsia"/>
                <w:kern w:val="0"/>
                <w:sz w:val="28"/>
                <w:szCs w:val="28"/>
              </w:rPr>
              <w:t>上线下责任区、先锋岗、工作坊等机制。</w:t>
            </w:r>
          </w:p>
          <w:p w14:paraId="6BD8232A"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建设大数据集成平台，深度挖掘学生学习生活、成长发展纪实数据，实现一键画像、过程记录、趋势预警、智能推荐、科学评价等功能。</w:t>
            </w:r>
          </w:p>
          <w:p w14:paraId="5DC9E550" w14:textId="77777777" w:rsidR="00363BFA" w:rsidRPr="00B015E8" w:rsidRDefault="00363BFA" w:rsidP="00363BFA">
            <w:pPr>
              <w:pStyle w:val="a9"/>
              <w:widowControl/>
              <w:numPr>
                <w:ilvl w:val="1"/>
                <w:numId w:val="1"/>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将较为成熟的学生社区育人模式从部分学生覆盖向各年级各学段延伸，探索覆盖全校学生的学生社区育人生态。</w:t>
            </w:r>
          </w:p>
        </w:tc>
      </w:tr>
      <w:tr w:rsidR="00363BFA" w:rsidRPr="00B015E8" w14:paraId="7BACDD7D" w14:textId="77777777" w:rsidTr="00F06C9D">
        <w:trPr>
          <w:trHeight w:val="8489"/>
          <w:jc w:val="cent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05271CC" w14:textId="77777777" w:rsidR="00363BFA" w:rsidRPr="00B015E8" w:rsidRDefault="00363BFA" w:rsidP="00F06C9D">
            <w:pPr>
              <w:widowControl/>
              <w:spacing w:line="500" w:lineRule="exact"/>
              <w:jc w:val="center"/>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lastRenderedPageBreak/>
              <w:t>2</w:t>
            </w:r>
            <w:r w:rsidRPr="00B015E8">
              <w:rPr>
                <w:rFonts w:ascii="Times New Roman" w:eastAsia="仿宋_GB2312" w:hAnsi="Times New Roman" w:cs="Times New Roman"/>
                <w:kern w:val="0"/>
                <w:sz w:val="28"/>
                <w:szCs w:val="28"/>
              </w:rPr>
              <w:t xml:space="preserve">. </w:t>
            </w:r>
            <w:r w:rsidRPr="00B015E8">
              <w:rPr>
                <w:rFonts w:ascii="Times New Roman" w:eastAsia="仿宋_GB2312" w:hAnsi="Times New Roman" w:cs="Times New Roman" w:hint="eastAsia"/>
                <w:kern w:val="0"/>
                <w:sz w:val="28"/>
                <w:szCs w:val="28"/>
              </w:rPr>
              <w:t>队伍入驻</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tcPr>
          <w:p w14:paraId="65E46CCF" w14:textId="77777777" w:rsidR="00363BFA" w:rsidRPr="00B015E8" w:rsidRDefault="00363BFA" w:rsidP="00363BFA">
            <w:pPr>
              <w:pStyle w:val="a9"/>
              <w:widowControl/>
              <w:numPr>
                <w:ilvl w:val="0"/>
                <w:numId w:val="2"/>
              </w:numPr>
              <w:spacing w:line="500" w:lineRule="exact"/>
              <w:ind w:firstLineChars="0"/>
              <w:rPr>
                <w:rFonts w:ascii="Times New Roman" w:eastAsia="仿宋_GB2312" w:hAnsi="Times New Roman" w:cs="Times New Roman"/>
                <w:vanish/>
                <w:kern w:val="0"/>
                <w:sz w:val="28"/>
                <w:szCs w:val="28"/>
              </w:rPr>
            </w:pPr>
          </w:p>
          <w:p w14:paraId="072F28E7" w14:textId="77777777" w:rsidR="00363BFA" w:rsidRPr="00B015E8" w:rsidRDefault="00363BFA" w:rsidP="00363BFA">
            <w:pPr>
              <w:pStyle w:val="a9"/>
              <w:widowControl/>
              <w:numPr>
                <w:ilvl w:val="0"/>
                <w:numId w:val="2"/>
              </w:numPr>
              <w:spacing w:line="500" w:lineRule="exact"/>
              <w:ind w:firstLineChars="0"/>
              <w:rPr>
                <w:rFonts w:ascii="Times New Roman" w:eastAsia="仿宋_GB2312" w:hAnsi="Times New Roman" w:cs="Times New Roman"/>
                <w:vanish/>
                <w:kern w:val="0"/>
                <w:sz w:val="28"/>
                <w:szCs w:val="28"/>
              </w:rPr>
            </w:pPr>
          </w:p>
          <w:p w14:paraId="3740E861"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学校、部处、院系领导干部带头</w:t>
            </w:r>
            <w:proofErr w:type="gramStart"/>
            <w:r w:rsidRPr="00B015E8">
              <w:rPr>
                <w:rFonts w:ascii="Times New Roman" w:eastAsia="仿宋_GB2312" w:hAnsi="Times New Roman" w:cs="Times New Roman" w:hint="eastAsia"/>
                <w:kern w:val="0"/>
                <w:sz w:val="28"/>
                <w:szCs w:val="28"/>
              </w:rPr>
              <w:t>践行</w:t>
            </w:r>
            <w:proofErr w:type="gramEnd"/>
            <w:r w:rsidRPr="00B015E8">
              <w:rPr>
                <w:rFonts w:ascii="Times New Roman" w:eastAsia="仿宋_GB2312" w:hAnsi="Times New Roman" w:cs="Times New Roman" w:hint="eastAsia"/>
                <w:kern w:val="0"/>
                <w:sz w:val="28"/>
                <w:szCs w:val="28"/>
              </w:rPr>
              <w:t>“一线规则”，常态</w:t>
            </w:r>
            <w:proofErr w:type="gramStart"/>
            <w:r w:rsidRPr="00B015E8">
              <w:rPr>
                <w:rFonts w:ascii="Times New Roman" w:eastAsia="仿宋_GB2312" w:hAnsi="Times New Roman" w:cs="Times New Roman" w:hint="eastAsia"/>
                <w:kern w:val="0"/>
                <w:sz w:val="28"/>
                <w:szCs w:val="28"/>
              </w:rPr>
              <w:t>化深入</w:t>
            </w:r>
            <w:proofErr w:type="gramEnd"/>
            <w:r w:rsidRPr="00B015E8">
              <w:rPr>
                <w:rFonts w:ascii="Times New Roman" w:eastAsia="仿宋_GB2312" w:hAnsi="Times New Roman" w:cs="Times New Roman" w:hint="eastAsia"/>
                <w:kern w:val="0"/>
                <w:sz w:val="28"/>
                <w:szCs w:val="28"/>
              </w:rPr>
              <w:t>学生社区，及时解决涉及学生思想、学习、生活、发展等实际问题。</w:t>
            </w:r>
          </w:p>
          <w:p w14:paraId="501FAF7F"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专职辅导员在学生社区有办公场所和住宿空间，与学生同吃同住同生活，做到全员覆盖、全时保障。</w:t>
            </w:r>
          </w:p>
          <w:p w14:paraId="6A9C884E"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选拔有一定工作经历的优秀专任教师在学生社区担任学业导师，指导学生学业发展、科研训练、项目实践、生涯规划等。</w:t>
            </w:r>
          </w:p>
          <w:p w14:paraId="12260B21"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在学生社区常态化引入心理咨询、生涯规划等专业力量，满足学生个性化需求。</w:t>
            </w:r>
          </w:p>
          <w:p w14:paraId="5885AEF4"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明确各育人队伍在学生社区的角色定位，完善选聘、培训、管理、考核、激励机制，实现各展所长、功能互补、合力凝聚。</w:t>
            </w:r>
          </w:p>
        </w:tc>
        <w:tc>
          <w:tcPr>
            <w:tcW w:w="2190" w:type="pct"/>
            <w:tcBorders>
              <w:top w:val="single" w:sz="4" w:space="0" w:color="auto"/>
              <w:left w:val="single" w:sz="4" w:space="0" w:color="auto"/>
              <w:bottom w:val="single" w:sz="4" w:space="0" w:color="auto"/>
              <w:right w:val="single" w:sz="4" w:space="0" w:color="auto"/>
            </w:tcBorders>
            <w:shd w:val="clear" w:color="auto" w:fill="auto"/>
            <w:vAlign w:val="center"/>
          </w:tcPr>
          <w:p w14:paraId="1B95A8CD"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校院两级领导班子成员和职能部门负责人带头担任学生社区“楼长”“层长”，校领导每月至少面对面与学生交流</w:t>
            </w:r>
            <w:r w:rsidRPr="00B015E8">
              <w:rPr>
                <w:rFonts w:ascii="Times New Roman" w:eastAsia="仿宋_GB2312" w:hAnsi="Times New Roman" w:cs="Times New Roman" w:hint="eastAsia"/>
                <w:kern w:val="0"/>
                <w:sz w:val="28"/>
                <w:szCs w:val="28"/>
              </w:rPr>
              <w:t>2</w:t>
            </w:r>
            <w:r w:rsidRPr="00B015E8">
              <w:rPr>
                <w:rFonts w:ascii="Times New Roman" w:eastAsia="仿宋_GB2312" w:hAnsi="Times New Roman" w:cs="Times New Roman" w:hint="eastAsia"/>
                <w:kern w:val="0"/>
                <w:sz w:val="28"/>
                <w:szCs w:val="28"/>
              </w:rPr>
              <w:t>次。</w:t>
            </w:r>
          </w:p>
          <w:p w14:paraId="57797200"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建立学生社区党支部工作联系点，校院两级领导干部每季度至少到所联系的党支部参加</w:t>
            </w:r>
            <w:r w:rsidRPr="00B015E8">
              <w:rPr>
                <w:rFonts w:ascii="Times New Roman" w:eastAsia="仿宋_GB2312" w:hAnsi="Times New Roman" w:cs="Times New Roman" w:hint="eastAsia"/>
                <w:kern w:val="0"/>
                <w:sz w:val="28"/>
                <w:szCs w:val="28"/>
              </w:rPr>
              <w:t>1</w:t>
            </w:r>
            <w:r w:rsidRPr="00B015E8">
              <w:rPr>
                <w:rFonts w:ascii="Times New Roman" w:eastAsia="仿宋_GB2312" w:hAnsi="Times New Roman" w:cs="Times New Roman" w:hint="eastAsia"/>
                <w:kern w:val="0"/>
                <w:sz w:val="28"/>
                <w:szCs w:val="28"/>
              </w:rPr>
              <w:t>次组织生活或主题党日活动。</w:t>
            </w:r>
          </w:p>
          <w:p w14:paraId="6917464F"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每名学业导师原则上指导学生不多于</w:t>
            </w:r>
            <w:r w:rsidRPr="00B015E8">
              <w:rPr>
                <w:rFonts w:ascii="Times New Roman" w:eastAsia="仿宋_GB2312" w:hAnsi="Times New Roman" w:cs="Times New Roman"/>
                <w:kern w:val="0"/>
                <w:sz w:val="28"/>
                <w:szCs w:val="28"/>
              </w:rPr>
              <w:t>1</w:t>
            </w:r>
            <w:r w:rsidRPr="00B015E8">
              <w:rPr>
                <w:rFonts w:ascii="Times New Roman" w:eastAsia="仿宋_GB2312" w:hAnsi="Times New Roman" w:cs="Times New Roman" w:hint="eastAsia"/>
                <w:kern w:val="0"/>
                <w:sz w:val="28"/>
                <w:szCs w:val="28"/>
              </w:rPr>
              <w:t>0</w:t>
            </w:r>
            <w:r w:rsidRPr="00B015E8">
              <w:rPr>
                <w:rFonts w:ascii="Times New Roman" w:eastAsia="仿宋_GB2312" w:hAnsi="Times New Roman" w:cs="Times New Roman" w:hint="eastAsia"/>
                <w:kern w:val="0"/>
                <w:sz w:val="28"/>
                <w:szCs w:val="28"/>
              </w:rPr>
              <w:t>人，每月“一对一”交流不少于</w:t>
            </w:r>
            <w:r w:rsidRPr="00B015E8">
              <w:rPr>
                <w:rFonts w:ascii="Times New Roman" w:eastAsia="仿宋_GB2312" w:hAnsi="Times New Roman" w:cs="Times New Roman" w:hint="eastAsia"/>
                <w:kern w:val="0"/>
                <w:sz w:val="28"/>
                <w:szCs w:val="28"/>
              </w:rPr>
              <w:t>2</w:t>
            </w:r>
            <w:r w:rsidRPr="00B015E8">
              <w:rPr>
                <w:rFonts w:ascii="Times New Roman" w:eastAsia="仿宋_GB2312" w:hAnsi="Times New Roman" w:cs="Times New Roman" w:hint="eastAsia"/>
                <w:kern w:val="0"/>
                <w:sz w:val="28"/>
                <w:szCs w:val="28"/>
              </w:rPr>
              <w:t>次。</w:t>
            </w:r>
          </w:p>
          <w:p w14:paraId="3CF13C83"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选聘校党政团干部、思想政治理论课和优秀青年教师担任学生社区兼职辅导员。</w:t>
            </w:r>
          </w:p>
          <w:p w14:paraId="0DAB3214" w14:textId="77777777" w:rsidR="00363BFA" w:rsidRPr="00B015E8" w:rsidRDefault="00363BFA" w:rsidP="00363BFA">
            <w:pPr>
              <w:pStyle w:val="a9"/>
              <w:widowControl/>
              <w:numPr>
                <w:ilvl w:val="1"/>
                <w:numId w:val="2"/>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邀请两院院士、大国工匠、时代楷模，国家勋章、国家荣誉称号获得者，党政领导干部、国企管理人员，以及“五老”等先进群体进入社区开展教育活动。</w:t>
            </w:r>
          </w:p>
        </w:tc>
      </w:tr>
      <w:tr w:rsidR="00363BFA" w:rsidRPr="00B015E8" w14:paraId="16E3A8D5" w14:textId="77777777" w:rsidTr="00F06C9D">
        <w:trPr>
          <w:trHeight w:val="3811"/>
          <w:jc w:val="center"/>
        </w:trPr>
        <w:tc>
          <w:tcPr>
            <w:tcW w:w="592" w:type="pct"/>
            <w:shd w:val="clear" w:color="auto" w:fill="auto"/>
            <w:vAlign w:val="center"/>
          </w:tcPr>
          <w:p w14:paraId="31B9F567" w14:textId="77777777" w:rsidR="00363BFA" w:rsidRPr="00B015E8" w:rsidRDefault="00363BFA" w:rsidP="00F06C9D">
            <w:pPr>
              <w:widowControl/>
              <w:spacing w:line="500" w:lineRule="exact"/>
              <w:jc w:val="center"/>
              <w:rPr>
                <w:rFonts w:ascii="Times New Roman" w:eastAsia="仿宋_GB2312" w:hAnsi="Times New Roman" w:cs="Times New Roman"/>
                <w:kern w:val="0"/>
                <w:sz w:val="28"/>
                <w:szCs w:val="28"/>
              </w:rPr>
            </w:pPr>
            <w:r w:rsidRPr="00B015E8">
              <w:rPr>
                <w:rFonts w:ascii="Times New Roman" w:eastAsia="仿宋_GB2312" w:hAnsi="Times New Roman" w:cs="Times New Roman"/>
                <w:kern w:val="0"/>
                <w:sz w:val="28"/>
                <w:szCs w:val="28"/>
              </w:rPr>
              <w:lastRenderedPageBreak/>
              <w:t xml:space="preserve">3. </w:t>
            </w:r>
            <w:r w:rsidRPr="00B015E8">
              <w:rPr>
                <w:rFonts w:ascii="Times New Roman" w:eastAsia="仿宋_GB2312" w:hAnsi="Times New Roman" w:cs="Times New Roman" w:hint="eastAsia"/>
                <w:kern w:val="0"/>
                <w:sz w:val="28"/>
                <w:szCs w:val="28"/>
              </w:rPr>
              <w:t>学生参与</w:t>
            </w:r>
          </w:p>
        </w:tc>
        <w:tc>
          <w:tcPr>
            <w:tcW w:w="2218" w:type="pct"/>
            <w:shd w:val="clear" w:color="auto" w:fill="auto"/>
            <w:vAlign w:val="center"/>
          </w:tcPr>
          <w:p w14:paraId="460846F6" w14:textId="77777777" w:rsidR="00363BFA" w:rsidRPr="00B015E8" w:rsidRDefault="00363BFA" w:rsidP="00363BFA">
            <w:pPr>
              <w:pStyle w:val="a9"/>
              <w:widowControl/>
              <w:numPr>
                <w:ilvl w:val="0"/>
                <w:numId w:val="3"/>
              </w:numPr>
              <w:spacing w:line="500" w:lineRule="exact"/>
              <w:ind w:firstLineChars="0"/>
              <w:rPr>
                <w:rFonts w:ascii="Times New Roman" w:eastAsia="仿宋_GB2312" w:hAnsi="Times New Roman" w:cs="Times New Roman"/>
                <w:vanish/>
                <w:kern w:val="0"/>
                <w:sz w:val="28"/>
                <w:szCs w:val="28"/>
              </w:rPr>
            </w:pPr>
          </w:p>
          <w:p w14:paraId="46971D57" w14:textId="77777777" w:rsidR="00363BFA" w:rsidRPr="00B015E8" w:rsidRDefault="00363BFA" w:rsidP="00363BFA">
            <w:pPr>
              <w:pStyle w:val="a9"/>
              <w:widowControl/>
              <w:numPr>
                <w:ilvl w:val="0"/>
                <w:numId w:val="3"/>
              </w:numPr>
              <w:spacing w:line="500" w:lineRule="exact"/>
              <w:ind w:firstLineChars="0"/>
              <w:rPr>
                <w:rFonts w:ascii="Times New Roman" w:eastAsia="仿宋_GB2312" w:hAnsi="Times New Roman" w:cs="Times New Roman"/>
                <w:vanish/>
                <w:kern w:val="0"/>
                <w:sz w:val="28"/>
                <w:szCs w:val="28"/>
              </w:rPr>
            </w:pPr>
          </w:p>
          <w:p w14:paraId="2E4D6182" w14:textId="77777777" w:rsidR="00363BFA" w:rsidRPr="00B015E8" w:rsidRDefault="00363BFA" w:rsidP="00363BFA">
            <w:pPr>
              <w:pStyle w:val="a9"/>
              <w:widowControl/>
              <w:numPr>
                <w:ilvl w:val="0"/>
                <w:numId w:val="3"/>
              </w:numPr>
              <w:spacing w:line="500" w:lineRule="exact"/>
              <w:ind w:firstLineChars="0"/>
              <w:rPr>
                <w:rFonts w:ascii="Times New Roman" w:eastAsia="仿宋_GB2312" w:hAnsi="Times New Roman" w:cs="Times New Roman"/>
                <w:vanish/>
                <w:kern w:val="0"/>
                <w:sz w:val="28"/>
                <w:szCs w:val="28"/>
              </w:rPr>
            </w:pPr>
          </w:p>
          <w:p w14:paraId="69A275F7"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建立学生自我管理自我服务组织，遴选学生党员、入党积极分子担任负责人。</w:t>
            </w:r>
          </w:p>
          <w:p w14:paraId="18947859"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组织学生通过社团活动、志愿服务、勤工助学、实践锻炼等方式参与社区建设、楼宇管理。</w:t>
            </w:r>
          </w:p>
          <w:p w14:paraId="12D9AC3A"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建立健全以服务奉献为导向、以素质养成为目标、以经历认证为保障、以制度规范为基础的长效机制，培养学生自主意识和自律能力。</w:t>
            </w:r>
          </w:p>
        </w:tc>
        <w:tc>
          <w:tcPr>
            <w:tcW w:w="2190" w:type="pct"/>
            <w:shd w:val="clear" w:color="auto" w:fill="auto"/>
            <w:vAlign w:val="center"/>
          </w:tcPr>
          <w:p w14:paraId="43B0E1E5"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充分发挥学生在朋辈教育帮扶、校园文化营造等方面的作用，在学生社区建立活动场所集群，培育品牌活动项目。</w:t>
            </w:r>
          </w:p>
          <w:p w14:paraId="73D6EA33"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挖掘社区劳动教育资源，开展富有学校风格特点的劳动教育，增强学生劳动意识。</w:t>
            </w:r>
          </w:p>
        </w:tc>
      </w:tr>
      <w:tr w:rsidR="00363BFA" w:rsidRPr="00B015E8" w14:paraId="1AA2B60B" w14:textId="77777777" w:rsidTr="00F06C9D">
        <w:trPr>
          <w:trHeight w:val="4389"/>
          <w:jc w:val="cent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6D0A20F" w14:textId="77777777" w:rsidR="00363BFA" w:rsidRPr="00B015E8" w:rsidRDefault="00363BFA" w:rsidP="00F06C9D">
            <w:pPr>
              <w:widowControl/>
              <w:spacing w:line="500" w:lineRule="exact"/>
              <w:jc w:val="center"/>
              <w:rPr>
                <w:rFonts w:ascii="Times New Roman" w:eastAsia="仿宋_GB2312" w:hAnsi="Times New Roman" w:cs="Times New Roman"/>
                <w:kern w:val="0"/>
                <w:sz w:val="28"/>
                <w:szCs w:val="28"/>
              </w:rPr>
            </w:pPr>
            <w:r w:rsidRPr="00B015E8">
              <w:rPr>
                <w:rFonts w:ascii="Times New Roman" w:eastAsia="仿宋_GB2312" w:hAnsi="Times New Roman" w:cs="Times New Roman"/>
                <w:kern w:val="0"/>
                <w:sz w:val="28"/>
                <w:szCs w:val="28"/>
              </w:rPr>
              <w:t xml:space="preserve">4. </w:t>
            </w:r>
            <w:r w:rsidRPr="00B015E8">
              <w:rPr>
                <w:rFonts w:ascii="Times New Roman" w:eastAsia="仿宋_GB2312" w:hAnsi="Times New Roman" w:cs="Times New Roman" w:hint="eastAsia"/>
                <w:kern w:val="0"/>
                <w:sz w:val="28"/>
                <w:szCs w:val="28"/>
              </w:rPr>
              <w:t>条件保障</w:t>
            </w:r>
          </w:p>
        </w:tc>
        <w:tc>
          <w:tcPr>
            <w:tcW w:w="2218" w:type="pct"/>
            <w:tcBorders>
              <w:top w:val="single" w:sz="4" w:space="0" w:color="auto"/>
              <w:left w:val="single" w:sz="4" w:space="0" w:color="auto"/>
              <w:bottom w:val="single" w:sz="4" w:space="0" w:color="auto"/>
              <w:right w:val="single" w:sz="4" w:space="0" w:color="auto"/>
            </w:tcBorders>
            <w:shd w:val="clear" w:color="auto" w:fill="auto"/>
            <w:vAlign w:val="center"/>
          </w:tcPr>
          <w:p w14:paraId="7CE5F981" w14:textId="77777777" w:rsidR="00363BFA" w:rsidRPr="00B015E8" w:rsidRDefault="00363BFA" w:rsidP="00363BFA">
            <w:pPr>
              <w:pStyle w:val="a9"/>
              <w:widowControl/>
              <w:numPr>
                <w:ilvl w:val="0"/>
                <w:numId w:val="3"/>
              </w:numPr>
              <w:spacing w:line="500" w:lineRule="exact"/>
              <w:ind w:firstLineChars="0"/>
              <w:rPr>
                <w:rFonts w:ascii="Times New Roman" w:eastAsia="仿宋_GB2312" w:hAnsi="Times New Roman" w:cs="Times New Roman"/>
                <w:vanish/>
                <w:kern w:val="0"/>
                <w:sz w:val="28"/>
                <w:szCs w:val="28"/>
              </w:rPr>
            </w:pPr>
          </w:p>
          <w:p w14:paraId="1DA1C4D3"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在学生社区设置一定面积的公共物理空间，配备必要的软硬件设施，满足学生学习、师生交流、生活服务、活动开展等需要。</w:t>
            </w:r>
          </w:p>
          <w:p w14:paraId="620888F9"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建设学生社区线下服务大厅或线上服务平台，精准对接学生需求，常态化提供便捷服务。</w:t>
            </w:r>
          </w:p>
          <w:p w14:paraId="7C7BACBE"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从工作量认定、津贴发放、职务（职级）晋升等方面为参与“一站式”学生社区建设人员提供政策保障。</w:t>
            </w:r>
          </w:p>
        </w:tc>
        <w:tc>
          <w:tcPr>
            <w:tcW w:w="2190" w:type="pct"/>
            <w:tcBorders>
              <w:top w:val="single" w:sz="4" w:space="0" w:color="auto"/>
              <w:left w:val="single" w:sz="4" w:space="0" w:color="auto"/>
              <w:bottom w:val="single" w:sz="4" w:space="0" w:color="auto"/>
              <w:right w:val="single" w:sz="4" w:space="0" w:color="auto"/>
            </w:tcBorders>
            <w:shd w:val="clear" w:color="auto" w:fill="auto"/>
            <w:vAlign w:val="center"/>
          </w:tcPr>
          <w:p w14:paraId="2F9EF1A1"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打造功能齐全、设备先进的公共物理空间，充分满足学生阅读、研讨、咨询、展示、健身、休闲等需求。</w:t>
            </w:r>
          </w:p>
          <w:p w14:paraId="7FA88A05"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为入驻队伍提供方便务实的办公、生活等条件。</w:t>
            </w:r>
          </w:p>
          <w:p w14:paraId="7FC3EE87" w14:textId="77777777" w:rsidR="00363BFA" w:rsidRPr="00B015E8" w:rsidRDefault="00363BFA" w:rsidP="00363BFA">
            <w:pPr>
              <w:pStyle w:val="a9"/>
              <w:widowControl/>
              <w:numPr>
                <w:ilvl w:val="1"/>
                <w:numId w:val="3"/>
              </w:numPr>
              <w:spacing w:line="500" w:lineRule="exact"/>
              <w:ind w:left="567" w:firstLineChars="0"/>
              <w:rPr>
                <w:rFonts w:ascii="Times New Roman" w:eastAsia="仿宋_GB2312" w:hAnsi="Times New Roman" w:cs="Times New Roman"/>
                <w:kern w:val="0"/>
                <w:sz w:val="28"/>
                <w:szCs w:val="28"/>
              </w:rPr>
            </w:pPr>
            <w:r w:rsidRPr="00B015E8">
              <w:rPr>
                <w:rFonts w:ascii="Times New Roman" w:eastAsia="仿宋_GB2312" w:hAnsi="Times New Roman" w:cs="Times New Roman" w:hint="eastAsia"/>
                <w:kern w:val="0"/>
                <w:sz w:val="28"/>
                <w:szCs w:val="28"/>
              </w:rPr>
              <w:t>充分利用社区公共空间，打造文化识别系统，实现理想信念“浸入式”宣传教育。</w:t>
            </w:r>
          </w:p>
        </w:tc>
      </w:tr>
    </w:tbl>
    <w:p w14:paraId="32916A56" w14:textId="77777777" w:rsidR="00AA0129" w:rsidRPr="00363BFA" w:rsidRDefault="00AA0129"/>
    <w:sectPr w:rsidR="00AA0129" w:rsidRPr="00363BFA" w:rsidSect="00363BFA">
      <w:pgSz w:w="16838" w:h="11906" w:orient="landscape"/>
      <w:pgMar w:top="720" w:right="720" w:bottom="720" w:left="720"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FE4C" w14:textId="77777777" w:rsidR="00F35DDF" w:rsidRDefault="00F35DDF" w:rsidP="00363BFA">
      <w:r>
        <w:separator/>
      </w:r>
    </w:p>
  </w:endnote>
  <w:endnote w:type="continuationSeparator" w:id="0">
    <w:p w14:paraId="4E98E9B7" w14:textId="77777777" w:rsidR="00F35DDF" w:rsidRDefault="00F35DDF" w:rsidP="0036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2575" w14:textId="77777777" w:rsidR="00F35DDF" w:rsidRDefault="00F35DDF" w:rsidP="00363BFA">
      <w:r>
        <w:separator/>
      </w:r>
    </w:p>
  </w:footnote>
  <w:footnote w:type="continuationSeparator" w:id="0">
    <w:p w14:paraId="6AAE25FF" w14:textId="77777777" w:rsidR="00F35DDF" w:rsidRDefault="00F35DDF" w:rsidP="0036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2B9"/>
    <w:multiLevelType w:val="multilevel"/>
    <w:tmpl w:val="0C8322B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6F562C5"/>
    <w:multiLevelType w:val="multilevel"/>
    <w:tmpl w:val="16F562C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D2F441C"/>
    <w:multiLevelType w:val="multilevel"/>
    <w:tmpl w:val="4D2F441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43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50"/>
    <w:rsid w:val="00363BFA"/>
    <w:rsid w:val="00A96750"/>
    <w:rsid w:val="00AA0129"/>
    <w:rsid w:val="00F3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9F484D-0CEB-402A-BE45-3C93C6DB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方正小标宋简体" w:eastAsia="方正小标宋简体" w:hAnsi="方正小标宋简体" w:cs="宋体"/>
        <w:b/>
        <w:bCs/>
        <w:color w:val="000000"/>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BFA"/>
    <w:pPr>
      <w:widowControl w:val="0"/>
      <w:jc w:val="both"/>
    </w:pPr>
    <w:rPr>
      <w:rFonts w:asciiTheme="minorHAnsi" w:eastAsiaTheme="minorEastAsia" w:hAnsiTheme="minorHAnsi" w:cstheme="minorBidi"/>
      <w:b w:val="0"/>
      <w:bCs w:val="0"/>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3BFA"/>
    <w:rPr>
      <w:sz w:val="18"/>
      <w:szCs w:val="18"/>
    </w:rPr>
  </w:style>
  <w:style w:type="paragraph" w:styleId="a5">
    <w:name w:val="footer"/>
    <w:basedOn w:val="a"/>
    <w:link w:val="a6"/>
    <w:uiPriority w:val="99"/>
    <w:unhideWhenUsed/>
    <w:rsid w:val="00363BFA"/>
    <w:pPr>
      <w:tabs>
        <w:tab w:val="center" w:pos="4153"/>
        <w:tab w:val="right" w:pos="8306"/>
      </w:tabs>
      <w:snapToGrid w:val="0"/>
      <w:jc w:val="left"/>
    </w:pPr>
    <w:rPr>
      <w:sz w:val="18"/>
      <w:szCs w:val="18"/>
    </w:rPr>
  </w:style>
  <w:style w:type="character" w:customStyle="1" w:styleId="a6">
    <w:name w:val="页脚 字符"/>
    <w:basedOn w:val="a0"/>
    <w:link w:val="a5"/>
    <w:uiPriority w:val="99"/>
    <w:rsid w:val="00363BFA"/>
    <w:rPr>
      <w:sz w:val="18"/>
      <w:szCs w:val="18"/>
    </w:rPr>
  </w:style>
  <w:style w:type="paragraph" w:styleId="a7">
    <w:name w:val="Body Text Indent"/>
    <w:basedOn w:val="a"/>
    <w:link w:val="a8"/>
    <w:uiPriority w:val="99"/>
    <w:unhideWhenUsed/>
    <w:qFormat/>
    <w:rsid w:val="00363BFA"/>
    <w:pPr>
      <w:spacing w:after="120"/>
      <w:ind w:leftChars="200" w:left="420"/>
    </w:pPr>
  </w:style>
  <w:style w:type="character" w:customStyle="1" w:styleId="a8">
    <w:name w:val="正文文本缩进 字符"/>
    <w:basedOn w:val="a0"/>
    <w:link w:val="a7"/>
    <w:uiPriority w:val="99"/>
    <w:qFormat/>
    <w:rsid w:val="00363BFA"/>
    <w:rPr>
      <w:rFonts w:asciiTheme="minorHAnsi" w:eastAsiaTheme="minorEastAsia" w:hAnsiTheme="minorHAnsi" w:cstheme="minorBidi"/>
      <w:b w:val="0"/>
      <w:bCs w:val="0"/>
      <w:color w:val="auto"/>
      <w:kern w:val="2"/>
      <w:sz w:val="21"/>
      <w:szCs w:val="22"/>
    </w:rPr>
  </w:style>
  <w:style w:type="paragraph" w:styleId="a9">
    <w:name w:val="List Paragraph"/>
    <w:basedOn w:val="a"/>
    <w:uiPriority w:val="34"/>
    <w:qFormat/>
    <w:rsid w:val="00363B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潇</dc:creator>
  <cp:keywords/>
  <dc:description/>
  <cp:lastModifiedBy>张 潇</cp:lastModifiedBy>
  <cp:revision>2</cp:revision>
  <dcterms:created xsi:type="dcterms:W3CDTF">2021-11-03T02:15:00Z</dcterms:created>
  <dcterms:modified xsi:type="dcterms:W3CDTF">2021-11-03T02:17:00Z</dcterms:modified>
</cp:coreProperties>
</file>